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A9" w:rsidRDefault="002717A9" w:rsidP="002717A9">
      <w:pPr>
        <w:ind w:left="-450"/>
        <w:jc w:val="center"/>
      </w:pPr>
      <w:r>
        <w:rPr>
          <w:noProof/>
        </w:rPr>
        <w:drawing>
          <wp:inline distT="0" distB="0" distL="0" distR="0">
            <wp:extent cx="5930900" cy="4045672"/>
            <wp:effectExtent l="0" t="0" r="0" b="0"/>
            <wp:docPr id="1" name="Picture 1" descr="Macintosh HD:Users:anneoleary:Dropbox:CoralPaperRevisions:Otherfiles:GothmannetalEA14_SCavsNaCaIndividual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oleary:Dropbox:CoralPaperRevisions:Otherfiles:GothmannetalEA14_SCavsNaCaIndividuals.pdf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930900" cy="404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A9" w:rsidRDefault="002717A9" w:rsidP="002717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Electronic Annex-14</w:t>
      </w:r>
      <w:r w:rsidRPr="0062447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proofErr w:type="gramStart"/>
      <w:r w:rsidRPr="00E76316">
        <w:rPr>
          <w:rFonts w:ascii="Times New Roman" w:hAnsi="Times New Roman"/>
        </w:rPr>
        <w:t>Plots of S/Ca (Intensity</w:t>
      </w:r>
      <w:r>
        <w:rPr>
          <w:rFonts w:ascii="Times New Roman" w:hAnsi="Times New Roman"/>
        </w:rPr>
        <w:t xml:space="preserve"> Ratio) vs. Na/Ca (</w:t>
      </w:r>
      <w:proofErr w:type="spellStart"/>
      <w:r>
        <w:rPr>
          <w:rFonts w:ascii="Times New Roman" w:hAnsi="Times New Roman"/>
        </w:rPr>
        <w:t>mmol</w:t>
      </w:r>
      <w:proofErr w:type="spellEnd"/>
      <w:r>
        <w:rPr>
          <w:rFonts w:ascii="Times New Roman" w:hAnsi="Times New Roman"/>
        </w:rPr>
        <w:t>/mol) in 5</w:t>
      </w:r>
      <w:r w:rsidRPr="00E76316">
        <w:rPr>
          <w:rFonts w:ascii="Times New Roman" w:hAnsi="Times New Roman"/>
        </w:rPr>
        <w:t xml:space="preserve"> individual samples of representative ages.</w:t>
      </w:r>
      <w:proofErr w:type="gramEnd"/>
      <w:r w:rsidRPr="00E76316">
        <w:rPr>
          <w:rFonts w:ascii="Times New Roman" w:hAnsi="Times New Roman"/>
        </w:rPr>
        <w:t xml:space="preserve"> We observe a positive relationship between S/Ca and Na/Ca in most samples, but not all. </w:t>
      </w:r>
    </w:p>
    <w:p w:rsidR="00AF66DA" w:rsidRDefault="002717A9" w:rsidP="002717A9">
      <w:pPr>
        <w:ind w:left="-450"/>
        <w:jc w:val="center"/>
      </w:pPr>
    </w:p>
    <w:sectPr w:rsidR="00AF66DA" w:rsidSect="00AF66D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17A9"/>
    <w:rsid w:val="002717A9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61A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Princeton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Gothmann</dc:creator>
  <cp:keywords/>
  <cp:lastModifiedBy>Anne  Gothmann</cp:lastModifiedBy>
  <cp:revision>1</cp:revision>
  <dcterms:created xsi:type="dcterms:W3CDTF">2015-02-06T15:48:00Z</dcterms:created>
  <dcterms:modified xsi:type="dcterms:W3CDTF">2015-02-06T15:50:00Z</dcterms:modified>
</cp:coreProperties>
</file>